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изделия медицинского назначения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изделия медицинского назначения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90049D">
        <w:rPr>
          <w:b/>
          <w:szCs w:val="28"/>
          <w:lang w:val="kk-KZ"/>
        </w:rPr>
        <w:t xml:space="preserve">29 сентября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90049D">
        <w:rPr>
          <w:b/>
          <w:color w:val="auto"/>
          <w:szCs w:val="28"/>
          <w:lang w:val="kk-KZ"/>
        </w:rPr>
        <w:t xml:space="preserve"> 29</w:t>
      </w:r>
      <w:r w:rsidRPr="00FC5657">
        <w:rPr>
          <w:b/>
          <w:color w:val="auto"/>
          <w:szCs w:val="28"/>
        </w:rPr>
        <w:t xml:space="preserve"> </w:t>
      </w:r>
      <w:r w:rsidR="0090049D">
        <w:rPr>
          <w:b/>
          <w:color w:val="auto"/>
          <w:szCs w:val="28"/>
          <w:lang w:val="kk-KZ"/>
        </w:rPr>
        <w:t xml:space="preserve">сентября 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0E09BB"/>
    <w:rsid w:val="00342492"/>
    <w:rsid w:val="00396114"/>
    <w:rsid w:val="004641C4"/>
    <w:rsid w:val="00474589"/>
    <w:rsid w:val="0052027D"/>
    <w:rsid w:val="0055362E"/>
    <w:rsid w:val="008119F2"/>
    <w:rsid w:val="0090049D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448</Words>
  <Characters>2555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8</cp:revision>
  <cp:lastPrinted>2020-01-22T11:52:00Z</cp:lastPrinted>
  <dcterms:created xsi:type="dcterms:W3CDTF">2020-01-17T05:40:00Z</dcterms:created>
  <dcterms:modified xsi:type="dcterms:W3CDTF">2020-09-22T07:33:00Z</dcterms:modified>
</cp:coreProperties>
</file>